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F6950" w14:textId="318A682A" w:rsidR="006176F9" w:rsidRPr="00FD0776" w:rsidRDefault="00B327E4" w:rsidP="006176F9">
      <w:pPr>
        <w:shd w:val="clear" w:color="auto" w:fill="FFFFFF"/>
        <w:spacing w:after="300" w:line="240" w:lineRule="auto"/>
        <w:rPr>
          <w:rFonts w:ascii="Helvetica" w:eastAsia="Times New Roman" w:hAnsi="Helvetica" w:cs="Helvetica"/>
          <w:b/>
          <w:bCs/>
          <w:i/>
          <w:iCs/>
          <w:kern w:val="0"/>
          <w:sz w:val="28"/>
          <w:szCs w:val="28"/>
          <w14:ligatures w14:val="none"/>
        </w:rPr>
      </w:pPr>
      <w:r w:rsidRPr="00FD0776">
        <w:rPr>
          <w:rFonts w:ascii="Helvetica" w:eastAsia="Times New Roman" w:hAnsi="Helvetica" w:cs="Helvetica"/>
          <w:b/>
          <w:bCs/>
          <w:i/>
          <w:iCs/>
          <w:kern w:val="0"/>
          <w:sz w:val="28"/>
          <w:szCs w:val="28"/>
          <w14:ligatures w14:val="none"/>
        </w:rPr>
        <w:t>Origination Fraud Monitoring</w:t>
      </w:r>
    </w:p>
    <w:p w14:paraId="0D981801" w14:textId="77777777" w:rsidR="006176F9" w:rsidRPr="00FD0776" w:rsidRDefault="006176F9" w:rsidP="006176F9">
      <w:pPr>
        <w:spacing w:after="240" w:line="240" w:lineRule="auto"/>
        <w:outlineLvl w:val="1"/>
        <w:rPr>
          <w:rFonts w:ascii="Helvetica" w:eastAsia="Times New Roman" w:hAnsi="Helvetica" w:cs="Helvetica"/>
          <w:b/>
          <w:bCs/>
          <w:i/>
          <w:iCs/>
          <w:spacing w:val="-4"/>
          <w:kern w:val="0"/>
          <w:sz w:val="28"/>
          <w:szCs w:val="28"/>
          <w14:ligatures w14:val="none"/>
        </w:rPr>
      </w:pPr>
    </w:p>
    <w:p w14:paraId="1EDD8E18" w14:textId="77777777" w:rsidR="006176F9" w:rsidRPr="00FD0776" w:rsidRDefault="006176F9" w:rsidP="006176F9">
      <w:pPr>
        <w:spacing w:after="240" w:line="240" w:lineRule="auto"/>
        <w:outlineLvl w:val="1"/>
        <w:rPr>
          <w:rFonts w:ascii="Helvetica" w:eastAsia="Times New Roman" w:hAnsi="Helvetica" w:cs="Helvetica"/>
          <w:b/>
          <w:bCs/>
          <w:i/>
          <w:iCs/>
          <w:spacing w:val="-4"/>
          <w:kern w:val="0"/>
          <w:sz w:val="28"/>
          <w:szCs w:val="28"/>
          <w14:ligatures w14:val="none"/>
        </w:rPr>
      </w:pPr>
      <w:r w:rsidRPr="00FD0776">
        <w:rPr>
          <w:rFonts w:ascii="Helvetica" w:eastAsia="Times New Roman" w:hAnsi="Helvetica" w:cs="Helvetica"/>
          <w:b/>
          <w:bCs/>
          <w:i/>
          <w:iCs/>
          <w:spacing w:val="-4"/>
          <w:kern w:val="0"/>
          <w:sz w:val="28"/>
          <w:szCs w:val="28"/>
          <w14:ligatures w14:val="none"/>
        </w:rPr>
        <w:t xml:space="preserve">FAQs </w:t>
      </w:r>
    </w:p>
    <w:p w14:paraId="296384D7"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Which parties involved in the origination of ACH entries will be subject to the new requirements related to the identification of unauthorized entries or entries authorized under false pretenses?</w:t>
      </w:r>
    </w:p>
    <w:p w14:paraId="69EBFBC1"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The new requirements on the identification of unauthorized entries or entries authorized under false pretenses will apply to each ODFI, each non-consumer Originator, each Third-Party Sender, and each Third-Party Service Provider that performs any functions of ACH processing on behalf of an Originator, Third-Party Sender, or ODFI.</w:t>
      </w:r>
    </w:p>
    <w:p w14:paraId="273E96E7"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p>
    <w:p w14:paraId="428CE04A"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 xml:space="preserve">What will the new </w:t>
      </w:r>
      <w:proofErr w:type="gramStart"/>
      <w:r w:rsidRPr="00B327E4">
        <w:rPr>
          <w:rFonts w:ascii="Helvetica" w:eastAsia="Times New Roman" w:hAnsi="Helvetica" w:cs="Helvetica"/>
          <w:b/>
          <w:bCs/>
          <w:kern w:val="0"/>
          <w14:ligatures w14:val="none"/>
        </w:rPr>
        <w:t>rules expressly require of</w:t>
      </w:r>
      <w:proofErr w:type="gramEnd"/>
      <w:r w:rsidRPr="00B327E4">
        <w:rPr>
          <w:rFonts w:ascii="Helvetica" w:eastAsia="Times New Roman" w:hAnsi="Helvetica" w:cs="Helvetica"/>
          <w:b/>
          <w:bCs/>
          <w:kern w:val="0"/>
          <w14:ligatures w14:val="none"/>
        </w:rPr>
        <w:t xml:space="preserve"> all ODFIs, non-consumer Originators, Third-Party Senders, and any Third-Party Service Providers that perform any functions of ACH processing on behalf of an Originator, Third-Party Sender, or ODFI?</w:t>
      </w:r>
    </w:p>
    <w:p w14:paraId="3185573E" w14:textId="77777777" w:rsidR="00B327E4" w:rsidRPr="00B327E4" w:rsidRDefault="00B327E4" w:rsidP="00B327E4">
      <w:pPr>
        <w:spacing w:after="30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Each of these parties will be required to:</w:t>
      </w:r>
    </w:p>
    <w:p w14:paraId="6370AFA0" w14:textId="77777777" w:rsidR="00B327E4" w:rsidRPr="00B327E4" w:rsidRDefault="00B327E4" w:rsidP="00B327E4">
      <w:pPr>
        <w:numPr>
          <w:ilvl w:val="0"/>
          <w:numId w:val="1"/>
        </w:num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establish and implement risk-based processes and procedures, relevant to the role it plays in the authorization or Transmission of Entries, that are reasonably intended to identify Entries that are suspected of being unauthorized or authorized under False Pretenses; and</w:t>
      </w:r>
    </w:p>
    <w:p w14:paraId="750E7F9D" w14:textId="77777777" w:rsidR="00B327E4" w:rsidRPr="00B327E4" w:rsidRDefault="00B327E4" w:rsidP="00B327E4">
      <w:pPr>
        <w:numPr>
          <w:ilvl w:val="0"/>
          <w:numId w:val="2"/>
        </w:num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review (at least annually) these processes and procedures and make appropriate updates to address evolving risks.</w:t>
      </w:r>
    </w:p>
    <w:p w14:paraId="73140641"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p>
    <w:p w14:paraId="0BB9DEA7"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Do the Rules prescribe specific processes and procedures that ODFIs, non-consumer Originators, Third-Party Senders, and Third-Party Service Providers must use to reasonably identify unauthorized entries or entries authorized under false pretenses?</w:t>
      </w:r>
    </w:p>
    <w:p w14:paraId="749F5ECB" w14:textId="77777777" w:rsidR="00B327E4" w:rsidRPr="00B327E4" w:rsidRDefault="00B327E4" w:rsidP="00B327E4">
      <w:pPr>
        <w:spacing w:after="30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No.</w:t>
      </w:r>
      <w:r w:rsidRPr="00B327E4">
        <w:rPr>
          <w:rFonts w:ascii="Helvetica" w:eastAsia="Times New Roman" w:hAnsi="Helvetica" w:cs="Helvetica"/>
          <w:kern w:val="0"/>
          <w14:ligatures w14:val="none"/>
        </w:rPr>
        <w:t xml:space="preserve"> </w:t>
      </w:r>
      <w:r w:rsidRPr="00B327E4">
        <w:rPr>
          <w:rFonts w:ascii="Helvetica" w:eastAsia="Times New Roman" w:hAnsi="Helvetica" w:cs="Helvetica"/>
          <w:kern w:val="0"/>
          <w:sz w:val="22"/>
          <w:szCs w:val="22"/>
          <w14:ligatures w14:val="none"/>
        </w:rPr>
        <w:t>While the Rules require the processes and procedures employed to be relevant to the role each party plays in the handling of ACH entries, the Rules language provides for the application of a risk-based approach to implementing fraud monitoring processes and procedures.</w:t>
      </w:r>
    </w:p>
    <w:p w14:paraId="21047F71" w14:textId="77777777" w:rsidR="00B327E4" w:rsidRPr="00B327E4" w:rsidRDefault="00B327E4" w:rsidP="00B327E4">
      <w:pPr>
        <w:spacing w:after="30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A risk-based approach to fraud monitoring enables financial institutions, Originators, and other parties to apply resources based on a risk assessment for various types of transactions.  A party might take extra measures to detect fraud in transactions in which it has determined risks to be elevated; take basic precautions where it has determined that risks are lower, and exempt transactions or activities that it determines involve very low risk.</w:t>
      </w:r>
    </w:p>
    <w:p w14:paraId="4499E8E5" w14:textId="77777777" w:rsidR="00B327E4" w:rsidRPr="00B327E4" w:rsidRDefault="00B327E4" w:rsidP="00B327E4">
      <w:pPr>
        <w:spacing w:after="30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 xml:space="preserve">A risk-based approach should not be used, however, to conclude that no monitoring is necessary at all. At a minimum, an entity applying a risk-based approach should conduct a risk assessment to identify and differentiate </w:t>
      </w:r>
      <w:proofErr w:type="gramStart"/>
      <w:r w:rsidRPr="00B327E4">
        <w:rPr>
          <w:rFonts w:ascii="Helvetica" w:eastAsia="Times New Roman" w:hAnsi="Helvetica" w:cs="Helvetica"/>
          <w:kern w:val="0"/>
          <w:sz w:val="22"/>
          <w:szCs w:val="22"/>
          <w14:ligatures w14:val="none"/>
        </w:rPr>
        <w:t>higher-risk</w:t>
      </w:r>
      <w:proofErr w:type="gramEnd"/>
      <w:r w:rsidRPr="00B327E4">
        <w:rPr>
          <w:rFonts w:ascii="Helvetica" w:eastAsia="Times New Roman" w:hAnsi="Helvetica" w:cs="Helvetica"/>
          <w:kern w:val="0"/>
          <w:sz w:val="22"/>
          <w:szCs w:val="22"/>
          <w14:ligatures w14:val="none"/>
        </w:rPr>
        <w:t xml:space="preserve"> from </w:t>
      </w:r>
      <w:proofErr w:type="gramStart"/>
      <w:r w:rsidRPr="00B327E4">
        <w:rPr>
          <w:rFonts w:ascii="Helvetica" w:eastAsia="Times New Roman" w:hAnsi="Helvetica" w:cs="Helvetica"/>
          <w:kern w:val="0"/>
          <w:sz w:val="22"/>
          <w:szCs w:val="22"/>
          <w14:ligatures w14:val="none"/>
        </w:rPr>
        <w:t>lower-risk</w:t>
      </w:r>
      <w:proofErr w:type="gramEnd"/>
      <w:r w:rsidRPr="00B327E4">
        <w:rPr>
          <w:rFonts w:ascii="Helvetica" w:eastAsia="Times New Roman" w:hAnsi="Helvetica" w:cs="Helvetica"/>
          <w:kern w:val="0"/>
          <w:sz w:val="22"/>
          <w:szCs w:val="22"/>
          <w14:ligatures w14:val="none"/>
        </w:rPr>
        <w:t xml:space="preserve"> transactions.</w:t>
      </w:r>
    </w:p>
    <w:p w14:paraId="5F8860AC" w14:textId="77777777" w:rsidR="00B327E4" w:rsidRPr="00B327E4" w:rsidRDefault="00B327E4" w:rsidP="00B327E4">
      <w:pPr>
        <w:spacing w:after="30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Appropriate processes and procedures reasonably intended to identify unauthorized entries and entries authorized under False Pretenses will vary depending on the role of the participant and the nature of the transaction. For example:</w:t>
      </w:r>
    </w:p>
    <w:p w14:paraId="0DF18B44" w14:textId="77777777" w:rsidR="00B327E4" w:rsidRPr="00B327E4" w:rsidRDefault="00B327E4" w:rsidP="00B327E4">
      <w:pPr>
        <w:numPr>
          <w:ilvl w:val="0"/>
          <w:numId w:val="3"/>
        </w:num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lastRenderedPageBreak/>
        <w:t xml:space="preserve">Originators may be best placed to implement procedures to protect against account </w:t>
      </w:r>
      <w:proofErr w:type="gramStart"/>
      <w:r w:rsidRPr="00B327E4">
        <w:rPr>
          <w:rFonts w:ascii="Helvetica" w:eastAsia="Times New Roman" w:hAnsi="Helvetica" w:cs="Helvetica"/>
          <w:kern w:val="0"/>
          <w:sz w:val="22"/>
          <w:szCs w:val="22"/>
          <w14:ligatures w14:val="none"/>
        </w:rPr>
        <w:t>takeover</w:t>
      </w:r>
      <w:proofErr w:type="gramEnd"/>
      <w:r w:rsidRPr="00B327E4">
        <w:rPr>
          <w:rFonts w:ascii="Helvetica" w:eastAsia="Times New Roman" w:hAnsi="Helvetica" w:cs="Helvetica"/>
          <w:kern w:val="0"/>
          <w:sz w:val="22"/>
          <w:szCs w:val="22"/>
          <w14:ligatures w14:val="none"/>
        </w:rPr>
        <w:t xml:space="preserve"> or other vectors for initiating unauthorized transactions.  Such procedures could include change controls regarding payment information and instructions for vendor and payroll payments.</w:t>
      </w:r>
    </w:p>
    <w:p w14:paraId="06786EF2" w14:textId="77777777" w:rsidR="00B327E4" w:rsidRPr="00B327E4" w:rsidRDefault="00B327E4" w:rsidP="00B327E4">
      <w:pPr>
        <w:numPr>
          <w:ilvl w:val="0"/>
          <w:numId w:val="4"/>
        </w:num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 xml:space="preserve">Third-Party Senders and Third-Party Service Providers involved in the origination of ACH Entries may have processes and procedures to review the volume, </w:t>
      </w:r>
      <w:proofErr w:type="gramStart"/>
      <w:r w:rsidRPr="00B327E4">
        <w:rPr>
          <w:rFonts w:ascii="Helvetica" w:eastAsia="Times New Roman" w:hAnsi="Helvetica" w:cs="Helvetica"/>
          <w:kern w:val="0"/>
          <w:sz w:val="22"/>
          <w:szCs w:val="22"/>
          <w14:ligatures w14:val="none"/>
        </w:rPr>
        <w:t>velocity</w:t>
      </w:r>
      <w:proofErr w:type="gramEnd"/>
      <w:r w:rsidRPr="00B327E4">
        <w:rPr>
          <w:rFonts w:ascii="Helvetica" w:eastAsia="Times New Roman" w:hAnsi="Helvetica" w:cs="Helvetica"/>
          <w:kern w:val="0"/>
          <w:sz w:val="22"/>
          <w:szCs w:val="22"/>
          <w14:ligatures w14:val="none"/>
        </w:rPr>
        <w:t>, dollar amounts and SEC Codes of their originated ACH Entries.</w:t>
      </w:r>
    </w:p>
    <w:p w14:paraId="0D11D60F"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p>
    <w:p w14:paraId="02450E17"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 xml:space="preserve">The Nacha Operating Rules permit </w:t>
      </w:r>
      <w:proofErr w:type="gramStart"/>
      <w:r w:rsidRPr="00B327E4">
        <w:rPr>
          <w:rFonts w:ascii="Helvetica" w:eastAsia="Times New Roman" w:hAnsi="Helvetica" w:cs="Helvetica"/>
          <w:b/>
          <w:bCs/>
          <w:kern w:val="0"/>
          <w14:ligatures w14:val="none"/>
        </w:rPr>
        <w:t>an ODFI’s</w:t>
      </w:r>
      <w:proofErr w:type="gramEnd"/>
      <w:r w:rsidRPr="00B327E4">
        <w:rPr>
          <w:rFonts w:ascii="Helvetica" w:eastAsia="Times New Roman" w:hAnsi="Helvetica" w:cs="Helvetica"/>
          <w:b/>
          <w:bCs/>
          <w:kern w:val="0"/>
          <w14:ligatures w14:val="none"/>
        </w:rPr>
        <w:t xml:space="preserve"> processes and procedures to consider the processes and procedures implemented by other participants in the origination of entries. What does this mean?</w:t>
      </w:r>
    </w:p>
    <w:p w14:paraId="2E3A2E7F" w14:textId="77777777" w:rsidR="00B327E4" w:rsidRPr="00B327E4" w:rsidRDefault="00B327E4" w:rsidP="00B327E4">
      <w:p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This provision of the rules gives originating participants flexibility in how processes and procedures to identify unauthorized entries can be allocated across originating participants. The basis for relying on another originating entity should be reasonable and clear (e.g., allocated by contract and verified by appropriate oversight). Any processes and procedures implemented by RDFIs and other receiving side ACH participants do not affect the obligations of originating participants.</w:t>
      </w:r>
    </w:p>
    <w:p w14:paraId="64DB1EFF"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p>
    <w:p w14:paraId="3B31FCC8"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Do the Rules mandate how often ODFIs, non-consumer Originators, Third-Party Senders/Service Providers must review the risk-based procedures they utilize to identify entries that are suspected of being unauthorized or authorized under False Pretenses?</w:t>
      </w:r>
    </w:p>
    <w:p w14:paraId="07BB6817" w14:textId="77777777" w:rsidR="00B327E4" w:rsidRPr="00B327E4" w:rsidRDefault="00B327E4" w:rsidP="00B327E4">
      <w:p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Yes. The rules require these parties to review their processes and procedures at least annually and make appropriate updates to address evolving risks. Parties may determine that more frequent review is appropriate, based on their specific circumstances.</w:t>
      </w:r>
    </w:p>
    <w:p w14:paraId="66845856"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p>
    <w:p w14:paraId="48ACAA13"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Do the rules require ODFIs, non-consumer Originators, Third-Party Senders, and Third-Party Service Providers to screen every ACH entry individually?</w:t>
      </w:r>
    </w:p>
    <w:p w14:paraId="23057DBC"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No.</w:t>
      </w:r>
    </w:p>
    <w:p w14:paraId="3BFD2CB4" w14:textId="77777777" w:rsidR="00FD0776" w:rsidRPr="00B327E4" w:rsidRDefault="00FD0776" w:rsidP="00B327E4">
      <w:pPr>
        <w:spacing w:after="0" w:line="240" w:lineRule="auto"/>
        <w:rPr>
          <w:rFonts w:ascii="Helvetica" w:eastAsia="Times New Roman" w:hAnsi="Helvetica" w:cs="Helvetica"/>
          <w:kern w:val="0"/>
          <w:sz w:val="22"/>
          <w:szCs w:val="22"/>
          <w14:ligatures w14:val="none"/>
        </w:rPr>
      </w:pPr>
    </w:p>
    <w:p w14:paraId="24B55F2E" w14:textId="77777777" w:rsidR="00B327E4" w:rsidRPr="00B327E4" w:rsidRDefault="00B327E4" w:rsidP="00B327E4">
      <w:pPr>
        <w:spacing w:after="0" w:line="240" w:lineRule="auto"/>
        <w:rPr>
          <w:rFonts w:ascii="Helvetica" w:eastAsia="Times New Roman" w:hAnsi="Helvetica" w:cs="Helvetica"/>
          <w:b/>
          <w:bCs/>
          <w:kern w:val="0"/>
          <w14:ligatures w14:val="none"/>
        </w:rPr>
      </w:pPr>
      <w:r w:rsidRPr="00B327E4">
        <w:rPr>
          <w:rFonts w:ascii="Helvetica" w:eastAsia="Times New Roman" w:hAnsi="Helvetica" w:cs="Helvetica"/>
          <w:b/>
          <w:bCs/>
          <w:kern w:val="0"/>
          <w14:ligatures w14:val="none"/>
        </w:rPr>
        <w:t>Do the rules require ODFIs, non-consumer Originators, Third-Party Senders, and Third-Party Service Providers to monitor ACH entries prior to the processing of Entries?</w:t>
      </w:r>
    </w:p>
    <w:p w14:paraId="5D111EEF" w14:textId="77777777" w:rsidR="00B327E4" w:rsidRPr="00FD0776" w:rsidRDefault="00B327E4" w:rsidP="00B327E4">
      <w:pPr>
        <w:spacing w:after="0" w:line="240" w:lineRule="auto"/>
        <w:rPr>
          <w:rFonts w:ascii="Helvetica" w:eastAsia="Times New Roman" w:hAnsi="Helvetica" w:cs="Helvetica"/>
          <w:kern w:val="0"/>
          <w:sz w:val="22"/>
          <w:szCs w:val="22"/>
          <w14:ligatures w14:val="none"/>
        </w:rPr>
      </w:pPr>
      <w:r w:rsidRPr="00B327E4">
        <w:rPr>
          <w:rFonts w:ascii="Helvetica" w:eastAsia="Times New Roman" w:hAnsi="Helvetica" w:cs="Helvetica"/>
          <w:kern w:val="0"/>
          <w:sz w:val="22"/>
          <w:szCs w:val="22"/>
          <w14:ligatures w14:val="none"/>
        </w:rPr>
        <w:t>No. Monitoring transactions prior to processing provides the greatest opportunity for detecting and preventing potential fraud. Nevertheless, the rules do not require such monitoring to be performed prior to processing Entries.</w:t>
      </w:r>
    </w:p>
    <w:p w14:paraId="1A178D21" w14:textId="77777777" w:rsidR="00B327E4" w:rsidRPr="00FD0776" w:rsidRDefault="00B327E4" w:rsidP="00B327E4">
      <w:pPr>
        <w:spacing w:after="0" w:line="240" w:lineRule="auto"/>
        <w:rPr>
          <w:rFonts w:ascii="Helvetica" w:eastAsia="Times New Roman" w:hAnsi="Helvetica" w:cs="Helvetica"/>
          <w:kern w:val="0"/>
          <w:sz w:val="27"/>
          <w:szCs w:val="27"/>
          <w14:ligatures w14:val="none"/>
        </w:rPr>
      </w:pPr>
    </w:p>
    <w:p w14:paraId="20EA14EC" w14:textId="77777777" w:rsidR="00B327E4" w:rsidRPr="00B327E4" w:rsidRDefault="00B327E4" w:rsidP="00B327E4">
      <w:pPr>
        <w:spacing w:after="0" w:line="240" w:lineRule="auto"/>
        <w:rPr>
          <w:rFonts w:ascii="Helvetica" w:eastAsia="Times New Roman" w:hAnsi="Helvetica" w:cs="Helvetica"/>
          <w:kern w:val="0"/>
          <w:sz w:val="27"/>
          <w:szCs w:val="27"/>
          <w14:ligatures w14:val="none"/>
        </w:rPr>
      </w:pPr>
    </w:p>
    <w:sectPr w:rsidR="00B327E4" w:rsidRPr="00B32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3B3"/>
    <w:multiLevelType w:val="multilevel"/>
    <w:tmpl w:val="F476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21C47"/>
    <w:multiLevelType w:val="multilevel"/>
    <w:tmpl w:val="01C2C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C58EF"/>
    <w:multiLevelType w:val="multilevel"/>
    <w:tmpl w:val="3076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06526"/>
    <w:multiLevelType w:val="multilevel"/>
    <w:tmpl w:val="61CEB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3A5188"/>
    <w:multiLevelType w:val="multilevel"/>
    <w:tmpl w:val="1040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772545"/>
    <w:multiLevelType w:val="multilevel"/>
    <w:tmpl w:val="0B26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454B3"/>
    <w:multiLevelType w:val="multilevel"/>
    <w:tmpl w:val="5D82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BC321C"/>
    <w:multiLevelType w:val="multilevel"/>
    <w:tmpl w:val="5780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15740"/>
    <w:multiLevelType w:val="multilevel"/>
    <w:tmpl w:val="FA4A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3744DE"/>
    <w:multiLevelType w:val="multilevel"/>
    <w:tmpl w:val="64EE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49725E"/>
    <w:multiLevelType w:val="multilevel"/>
    <w:tmpl w:val="A4AC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600CCC"/>
    <w:multiLevelType w:val="multilevel"/>
    <w:tmpl w:val="3A72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00606"/>
    <w:multiLevelType w:val="multilevel"/>
    <w:tmpl w:val="9470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727524">
    <w:abstractNumId w:val="0"/>
  </w:num>
  <w:num w:numId="2" w16cid:durableId="965235142">
    <w:abstractNumId w:val="7"/>
  </w:num>
  <w:num w:numId="3" w16cid:durableId="587884823">
    <w:abstractNumId w:val="2"/>
  </w:num>
  <w:num w:numId="4" w16cid:durableId="1189030786">
    <w:abstractNumId w:val="10"/>
  </w:num>
  <w:num w:numId="5" w16cid:durableId="1614556132">
    <w:abstractNumId w:val="8"/>
  </w:num>
  <w:num w:numId="6" w16cid:durableId="1229880769">
    <w:abstractNumId w:val="1"/>
  </w:num>
  <w:num w:numId="7" w16cid:durableId="2083721638">
    <w:abstractNumId w:val="6"/>
  </w:num>
  <w:num w:numId="8" w16cid:durableId="3634945">
    <w:abstractNumId w:val="9"/>
  </w:num>
  <w:num w:numId="9" w16cid:durableId="454257471">
    <w:abstractNumId w:val="5"/>
  </w:num>
  <w:num w:numId="10" w16cid:durableId="1052070878">
    <w:abstractNumId w:val="3"/>
  </w:num>
  <w:num w:numId="11" w16cid:durableId="734816405">
    <w:abstractNumId w:val="4"/>
  </w:num>
  <w:num w:numId="12" w16cid:durableId="302544092">
    <w:abstractNumId w:val="12"/>
  </w:num>
  <w:num w:numId="13" w16cid:durableId="759453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F9"/>
    <w:rsid w:val="006176F9"/>
    <w:rsid w:val="00B327E4"/>
    <w:rsid w:val="00BB2B70"/>
    <w:rsid w:val="00FD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BA36B"/>
  <w15:chartTrackingRefBased/>
  <w15:docId w15:val="{F6164D67-104E-44F0-A16C-C606F491D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6F9"/>
  </w:style>
  <w:style w:type="paragraph" w:styleId="Heading1">
    <w:name w:val="heading 1"/>
    <w:basedOn w:val="Normal"/>
    <w:next w:val="Normal"/>
    <w:link w:val="Heading1Char"/>
    <w:uiPriority w:val="9"/>
    <w:qFormat/>
    <w:rsid w:val="00617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6F9"/>
    <w:rPr>
      <w:rFonts w:eastAsiaTheme="majorEastAsia" w:cstheme="majorBidi"/>
      <w:color w:val="272727" w:themeColor="text1" w:themeTint="D8"/>
    </w:rPr>
  </w:style>
  <w:style w:type="paragraph" w:styleId="Title">
    <w:name w:val="Title"/>
    <w:basedOn w:val="Normal"/>
    <w:next w:val="Normal"/>
    <w:link w:val="TitleChar"/>
    <w:uiPriority w:val="10"/>
    <w:qFormat/>
    <w:rsid w:val="00617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6F9"/>
    <w:pPr>
      <w:spacing w:before="160"/>
      <w:jc w:val="center"/>
    </w:pPr>
    <w:rPr>
      <w:i/>
      <w:iCs/>
      <w:color w:val="404040" w:themeColor="text1" w:themeTint="BF"/>
    </w:rPr>
  </w:style>
  <w:style w:type="character" w:customStyle="1" w:styleId="QuoteChar">
    <w:name w:val="Quote Char"/>
    <w:basedOn w:val="DefaultParagraphFont"/>
    <w:link w:val="Quote"/>
    <w:uiPriority w:val="29"/>
    <w:rsid w:val="006176F9"/>
    <w:rPr>
      <w:i/>
      <w:iCs/>
      <w:color w:val="404040" w:themeColor="text1" w:themeTint="BF"/>
    </w:rPr>
  </w:style>
  <w:style w:type="paragraph" w:styleId="ListParagraph">
    <w:name w:val="List Paragraph"/>
    <w:basedOn w:val="Normal"/>
    <w:uiPriority w:val="34"/>
    <w:qFormat/>
    <w:rsid w:val="006176F9"/>
    <w:pPr>
      <w:ind w:left="720"/>
      <w:contextualSpacing/>
    </w:pPr>
  </w:style>
  <w:style w:type="character" w:styleId="IntenseEmphasis">
    <w:name w:val="Intense Emphasis"/>
    <w:basedOn w:val="DefaultParagraphFont"/>
    <w:uiPriority w:val="21"/>
    <w:qFormat/>
    <w:rsid w:val="006176F9"/>
    <w:rPr>
      <w:i/>
      <w:iCs/>
      <w:color w:val="0F4761" w:themeColor="accent1" w:themeShade="BF"/>
    </w:rPr>
  </w:style>
  <w:style w:type="paragraph" w:styleId="IntenseQuote">
    <w:name w:val="Intense Quote"/>
    <w:basedOn w:val="Normal"/>
    <w:next w:val="Normal"/>
    <w:link w:val="IntenseQuoteChar"/>
    <w:uiPriority w:val="30"/>
    <w:qFormat/>
    <w:rsid w:val="00617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6F9"/>
    <w:rPr>
      <w:i/>
      <w:iCs/>
      <w:color w:val="0F4761" w:themeColor="accent1" w:themeShade="BF"/>
    </w:rPr>
  </w:style>
  <w:style w:type="character" w:styleId="IntenseReference">
    <w:name w:val="Intense Reference"/>
    <w:basedOn w:val="DefaultParagraphFont"/>
    <w:uiPriority w:val="32"/>
    <w:qFormat/>
    <w:rsid w:val="006176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607</Words>
  <Characters>4347</Characters>
  <Application>Microsoft Office Word</Application>
  <DocSecurity>0</DocSecurity>
  <Lines>310</Lines>
  <Paragraphs>225</Paragraphs>
  <ScaleCrop>false</ScaleCrop>
  <HeadingPairs>
    <vt:vector size="2" baseType="variant">
      <vt:variant>
        <vt:lpstr>Title</vt:lpstr>
      </vt:variant>
      <vt:variant>
        <vt:i4>1</vt:i4>
      </vt:variant>
    </vt:vector>
  </HeadingPairs>
  <TitlesOfParts>
    <vt:vector size="1" baseType="lpstr">
      <vt:lpstr/>
    </vt:vector>
  </TitlesOfParts>
  <Company>Peoples Bank &amp; Trust</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Reissig</dc:creator>
  <cp:keywords/>
  <dc:description/>
  <cp:lastModifiedBy>Jill Reissig</cp:lastModifiedBy>
  <cp:revision>1</cp:revision>
  <dcterms:created xsi:type="dcterms:W3CDTF">2025-11-21T15:45:00Z</dcterms:created>
  <dcterms:modified xsi:type="dcterms:W3CDTF">2025-11-21T16:18:00Z</dcterms:modified>
</cp:coreProperties>
</file>